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75" w:rsidRPr="000B7175" w:rsidRDefault="000B7175" w:rsidP="000B7175">
      <w:pPr>
        <w:jc w:val="center"/>
      </w:pPr>
      <w:r w:rsidRPr="000B7175">
        <w:t>Kryteria odstrzału jeleni byków</w:t>
      </w:r>
    </w:p>
    <w:p w:rsidR="000B7175" w:rsidRPr="000B7175" w:rsidRDefault="000B7175" w:rsidP="000B7175">
      <w:pPr>
        <w:jc w:val="center"/>
      </w:pPr>
      <w:r w:rsidRPr="000B7175">
        <w:t>obowiązujące od sezonu 2005/2006 dla obwodów łowieckich położonych</w:t>
      </w:r>
    </w:p>
    <w:p w:rsidR="000B7175" w:rsidRPr="000B7175" w:rsidRDefault="000B7175" w:rsidP="000B7175">
      <w:pPr>
        <w:jc w:val="center"/>
      </w:pPr>
      <w:r w:rsidRPr="000B7175">
        <w:t>w obrębie okręgu olsztyńskiego PZŁ</w:t>
      </w:r>
    </w:p>
    <w:p w:rsidR="000B7175" w:rsidRPr="000B7175" w:rsidRDefault="000B7175" w:rsidP="000B7175">
      <w:r w:rsidRPr="000B7175">
        <w:t> </w:t>
      </w:r>
    </w:p>
    <w:tbl>
      <w:tblPr>
        <w:tblW w:w="10376" w:type="dxa"/>
        <w:tblCellSpacing w:w="15" w:type="dxa"/>
        <w:tblInd w:w="-587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"/>
        <w:gridCol w:w="2243"/>
        <w:gridCol w:w="6502"/>
        <w:gridCol w:w="675"/>
      </w:tblGrid>
      <w:tr w:rsidR="000B7175" w:rsidRPr="000B7175" w:rsidTr="000B7175">
        <w:trPr>
          <w:tblCellSpacing w:w="15" w:type="dxa"/>
        </w:trPr>
        <w:tc>
          <w:tcPr>
            <w:tcW w:w="911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klasa wieku</w:t>
            </w:r>
          </w:p>
        </w:tc>
        <w:tc>
          <w:tcPr>
            <w:tcW w:w="2213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Poroże/rok życia</w:t>
            </w:r>
          </w:p>
        </w:tc>
        <w:tc>
          <w:tcPr>
            <w:tcW w:w="6472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Opis poroża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Ocena</w:t>
            </w:r>
          </w:p>
        </w:tc>
      </w:tr>
      <w:tr w:rsidR="000B7175" w:rsidRPr="000B7175" w:rsidTr="000B7175">
        <w:trPr>
          <w:trHeight w:val="420"/>
          <w:tblCellSpacing w:w="15" w:type="dxa"/>
        </w:trPr>
        <w:tc>
          <w:tcPr>
            <w:tcW w:w="911" w:type="dxa"/>
            <w:vMerge w:val="restart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I klasa wieku</w:t>
            </w:r>
          </w:p>
        </w:tc>
        <w:tc>
          <w:tcPr>
            <w:tcW w:w="2213" w:type="dxa"/>
            <w:vMerge w:val="restart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1 poroże/2 rok życia</w:t>
            </w:r>
          </w:p>
        </w:tc>
        <w:tc>
          <w:tcPr>
            <w:tcW w:w="6472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- szpicaki do długości tyk do 20 cm, tj. do średniej długości łyżek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 0</w:t>
            </w:r>
          </w:p>
        </w:tc>
      </w:tr>
      <w:tr w:rsidR="000B7175" w:rsidRPr="000B7175" w:rsidTr="000B7175">
        <w:trPr>
          <w:trHeight w:val="420"/>
          <w:tblCellSpacing w:w="15" w:type="dxa"/>
        </w:trPr>
        <w:tc>
          <w:tcPr>
            <w:tcW w:w="911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2213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6472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- szpicaki o długości tyk powyżej 20 cm do 30 cm, tj. do 1,5 długości łyżek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X</w:t>
            </w:r>
          </w:p>
        </w:tc>
      </w:tr>
      <w:tr w:rsidR="000B7175" w:rsidRPr="000B7175" w:rsidTr="000B7175">
        <w:trPr>
          <w:trHeight w:val="420"/>
          <w:tblCellSpacing w:w="15" w:type="dxa"/>
        </w:trPr>
        <w:tc>
          <w:tcPr>
            <w:tcW w:w="911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2213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6472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- szpicaki o długości tyk powyżej 20 cm do 30 cm, tj. powyżej 1,5 długości łyżek oraz szpicaki o tykach rozwidlonych i koronne niezależnie od długości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XX</w:t>
            </w:r>
          </w:p>
        </w:tc>
      </w:tr>
      <w:tr w:rsidR="000B7175" w:rsidRPr="000B7175" w:rsidTr="000B7175">
        <w:trPr>
          <w:trHeight w:val="420"/>
          <w:tblCellSpacing w:w="15" w:type="dxa"/>
        </w:trPr>
        <w:tc>
          <w:tcPr>
            <w:tcW w:w="911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2213" w:type="dxa"/>
            <w:vMerge w:val="restart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2 poroże/3 rok życia</w:t>
            </w:r>
          </w:p>
          <w:p w:rsidR="000B7175" w:rsidRPr="000B7175" w:rsidRDefault="000B7175" w:rsidP="000B7175">
            <w:r w:rsidRPr="000B7175">
              <w:t> </w:t>
            </w:r>
          </w:p>
        </w:tc>
        <w:tc>
          <w:tcPr>
            <w:tcW w:w="6472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- ósmaki nieregularne oraz powyżej tej formy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 0</w:t>
            </w:r>
          </w:p>
        </w:tc>
      </w:tr>
      <w:tr w:rsidR="000B7175" w:rsidRPr="000B7175" w:rsidTr="000B7175">
        <w:trPr>
          <w:trHeight w:val="420"/>
          <w:tblCellSpacing w:w="15" w:type="dxa"/>
        </w:trPr>
        <w:tc>
          <w:tcPr>
            <w:tcW w:w="911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2213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6472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- ósmaki nieregularne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X</w:t>
            </w:r>
          </w:p>
        </w:tc>
      </w:tr>
      <w:tr w:rsidR="000B7175" w:rsidRPr="000B7175" w:rsidTr="000B7175">
        <w:trPr>
          <w:trHeight w:val="420"/>
          <w:tblCellSpacing w:w="15" w:type="dxa"/>
        </w:trPr>
        <w:tc>
          <w:tcPr>
            <w:tcW w:w="911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2213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6472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- byki powyżej regularnego ósmaka.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XX</w:t>
            </w:r>
          </w:p>
        </w:tc>
      </w:tr>
      <w:tr w:rsidR="000B7175" w:rsidRPr="000B7175" w:rsidTr="000B7175">
        <w:trPr>
          <w:trHeight w:val="420"/>
          <w:tblCellSpacing w:w="15" w:type="dxa"/>
        </w:trPr>
        <w:tc>
          <w:tcPr>
            <w:tcW w:w="911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2213" w:type="dxa"/>
            <w:vMerge w:val="restart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3 i 4 poroże/4 - 5  rok życia</w:t>
            </w:r>
          </w:p>
          <w:p w:rsidR="000B7175" w:rsidRPr="000B7175" w:rsidRDefault="000B7175" w:rsidP="000B7175">
            <w:r w:rsidRPr="000B7175">
              <w:t> </w:t>
            </w:r>
          </w:p>
        </w:tc>
        <w:tc>
          <w:tcPr>
            <w:tcW w:w="6472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- wszystkie byki niekoronne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 0</w:t>
            </w:r>
          </w:p>
        </w:tc>
      </w:tr>
      <w:tr w:rsidR="000B7175" w:rsidRPr="000B7175" w:rsidTr="000B7175">
        <w:trPr>
          <w:trHeight w:val="420"/>
          <w:tblCellSpacing w:w="15" w:type="dxa"/>
        </w:trPr>
        <w:tc>
          <w:tcPr>
            <w:tcW w:w="911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2213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6472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- wszystkie byki jednostronnie koronne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X</w:t>
            </w:r>
          </w:p>
        </w:tc>
      </w:tr>
      <w:tr w:rsidR="000B7175" w:rsidRPr="000B7175" w:rsidTr="000B7175">
        <w:trPr>
          <w:trHeight w:val="420"/>
          <w:tblCellSpacing w:w="15" w:type="dxa"/>
        </w:trPr>
        <w:tc>
          <w:tcPr>
            <w:tcW w:w="911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2213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6472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- wszystkie byki obustronnie koronne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XX</w:t>
            </w:r>
          </w:p>
        </w:tc>
      </w:tr>
      <w:tr w:rsidR="000B7175" w:rsidRPr="000B7175" w:rsidTr="000B7175">
        <w:trPr>
          <w:trHeight w:val="420"/>
          <w:tblCellSpacing w:w="15" w:type="dxa"/>
        </w:trPr>
        <w:tc>
          <w:tcPr>
            <w:tcW w:w="911" w:type="dxa"/>
            <w:vMerge w:val="restart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II klasa wieku</w:t>
            </w:r>
          </w:p>
        </w:tc>
        <w:tc>
          <w:tcPr>
            <w:tcW w:w="2213" w:type="dxa"/>
            <w:vMerge w:val="restart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5 - 6 poroże/6 - 7 rok życia</w:t>
            </w:r>
          </w:p>
        </w:tc>
        <w:tc>
          <w:tcPr>
            <w:tcW w:w="6472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- wszystkie byki niekoronne i jednostronnie koronne bez względu na masę poroża oraz obustronne koronne o masie poroża poniżej 3,0 gk.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 0</w:t>
            </w:r>
          </w:p>
        </w:tc>
      </w:tr>
      <w:tr w:rsidR="000B7175" w:rsidRPr="000B7175" w:rsidTr="000B7175">
        <w:trPr>
          <w:trHeight w:val="420"/>
          <w:tblCellSpacing w:w="15" w:type="dxa"/>
        </w:trPr>
        <w:tc>
          <w:tcPr>
            <w:tcW w:w="911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2213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6472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- byki obustronnie koronne o masie poroża od 3,0 kg do 4,0 kg;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X</w:t>
            </w:r>
          </w:p>
        </w:tc>
      </w:tr>
      <w:tr w:rsidR="000B7175" w:rsidRPr="000B7175" w:rsidTr="000B7175">
        <w:trPr>
          <w:trHeight w:val="784"/>
          <w:tblCellSpacing w:w="15" w:type="dxa"/>
        </w:trPr>
        <w:tc>
          <w:tcPr>
            <w:tcW w:w="911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2213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6472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- byki obustronnie koronne o masie poroża powyżej 4,0 kg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XX</w:t>
            </w:r>
          </w:p>
        </w:tc>
      </w:tr>
      <w:tr w:rsidR="000B7175" w:rsidRPr="000B7175" w:rsidTr="000B7175">
        <w:trPr>
          <w:tblCellSpacing w:w="15" w:type="dxa"/>
        </w:trPr>
        <w:tc>
          <w:tcPr>
            <w:tcW w:w="911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2213" w:type="dxa"/>
            <w:vMerge w:val="restart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7 - 9 poroże/8 -10 rok życia</w:t>
            </w:r>
          </w:p>
        </w:tc>
        <w:tc>
          <w:tcPr>
            <w:tcW w:w="6472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</w:tr>
      <w:tr w:rsidR="000B7175" w:rsidRPr="000B7175" w:rsidTr="000B7175">
        <w:trPr>
          <w:trHeight w:val="420"/>
          <w:tblCellSpacing w:w="15" w:type="dxa"/>
        </w:trPr>
        <w:tc>
          <w:tcPr>
            <w:tcW w:w="911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2213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6472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- wszystkie byki niekoronne i jednostronnie koronne bez względu na masę poroża oraz obustronne koronne o masie poroża poniżej 3,0 gk.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 0</w:t>
            </w:r>
          </w:p>
        </w:tc>
      </w:tr>
      <w:tr w:rsidR="000B7175" w:rsidRPr="000B7175" w:rsidTr="000B7175">
        <w:trPr>
          <w:trHeight w:val="420"/>
          <w:tblCellSpacing w:w="15" w:type="dxa"/>
        </w:trPr>
        <w:tc>
          <w:tcPr>
            <w:tcW w:w="911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2213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6472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- byki obustronnie koronne o masie poroża od 3,0 kg do 4,0 kg;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X</w:t>
            </w:r>
          </w:p>
        </w:tc>
      </w:tr>
      <w:tr w:rsidR="000B7175" w:rsidRPr="000B7175" w:rsidTr="000B7175">
        <w:trPr>
          <w:trHeight w:val="420"/>
          <w:tblCellSpacing w:w="15" w:type="dxa"/>
        </w:trPr>
        <w:tc>
          <w:tcPr>
            <w:tcW w:w="911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2213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6472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- byki obustronnie koronne o masie poroża powyżej 4,0 kg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XX</w:t>
            </w:r>
          </w:p>
        </w:tc>
      </w:tr>
      <w:tr w:rsidR="000B7175" w:rsidRPr="000B7175" w:rsidTr="000B7175">
        <w:trPr>
          <w:trHeight w:val="420"/>
          <w:tblCellSpacing w:w="15" w:type="dxa"/>
        </w:trPr>
        <w:tc>
          <w:tcPr>
            <w:tcW w:w="911" w:type="dxa"/>
            <w:vMerge w:val="restart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lastRenderedPageBreak/>
              <w:t>III klasa wieku</w:t>
            </w:r>
          </w:p>
        </w:tc>
        <w:tc>
          <w:tcPr>
            <w:tcW w:w="2213" w:type="dxa"/>
            <w:vMerge w:val="restart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10 poroże i powyżej/ 11 rok życia i starsze</w:t>
            </w:r>
          </w:p>
        </w:tc>
        <w:tc>
          <w:tcPr>
            <w:tcW w:w="6472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- wszystkie byki niekoronne i jednostronnie koronne oraz obustronnie koronne o masie poroża do 5,0 kg oraz prawidłowo wykonany odstrzał łowny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 0</w:t>
            </w:r>
          </w:p>
        </w:tc>
      </w:tr>
      <w:tr w:rsidR="000B7175" w:rsidRPr="000B7175" w:rsidTr="000B7175">
        <w:trPr>
          <w:trHeight w:val="420"/>
          <w:tblCellSpacing w:w="15" w:type="dxa"/>
        </w:trPr>
        <w:tc>
          <w:tcPr>
            <w:tcW w:w="911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2213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6472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- byki obustronnie koronne nie medalowe o masie poroża powyżej 5 kg pozyskane na odstrzał selekcyjny;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X</w:t>
            </w:r>
          </w:p>
        </w:tc>
      </w:tr>
      <w:tr w:rsidR="000B7175" w:rsidRPr="000B7175" w:rsidTr="000B7175">
        <w:trPr>
          <w:trHeight w:val="420"/>
          <w:tblCellSpacing w:w="15" w:type="dxa"/>
        </w:trPr>
        <w:tc>
          <w:tcPr>
            <w:tcW w:w="911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2213" w:type="dxa"/>
            <w:vMerge/>
            <w:shd w:val="clear" w:color="auto" w:fill="FFFFFF" w:themeFill="background1"/>
            <w:vAlign w:val="center"/>
            <w:hideMark/>
          </w:tcPr>
          <w:p w:rsidR="000B7175" w:rsidRPr="000B7175" w:rsidRDefault="000B7175" w:rsidP="000B7175"/>
        </w:tc>
        <w:tc>
          <w:tcPr>
            <w:tcW w:w="6472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- byki obustronnie koronne medalowe pozyskane na odstrzał selekcyjny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0B7175" w:rsidRPr="000B7175" w:rsidRDefault="000B7175" w:rsidP="000B7175">
            <w:r w:rsidRPr="000B7175">
              <w:t>XX</w:t>
            </w:r>
          </w:p>
        </w:tc>
      </w:tr>
    </w:tbl>
    <w:p w:rsidR="000B7175" w:rsidRPr="000B7175" w:rsidRDefault="000B7175" w:rsidP="000B7175">
      <w:r w:rsidRPr="000B7175">
        <w:t>               Ustalenia dodatkowe:</w:t>
      </w:r>
    </w:p>
    <w:p w:rsidR="000B7175" w:rsidRPr="000B7175" w:rsidRDefault="000B7175" w:rsidP="000B7175">
      <w:r w:rsidRPr="000B7175">
        <w:t>1. Za byka łownego uznaje się byka w III klasie wieku (w 11 roku życia i starszego) o prawidłowo ukształtowanym porożu (obustronnie koronnego), omasie wieńca powyżej 5,0 kg.</w:t>
      </w:r>
    </w:p>
    <w:p w:rsidR="000B7175" w:rsidRPr="000B7175" w:rsidRDefault="000B7175" w:rsidP="000B7175">
      <w:r w:rsidRPr="000B7175">
        <w:t>2. Za odnogę uznaje się każdy odrostek długości powyżej 3 cm w I klasie wieku oraz powyżej 5 cm w II i III klasie wieku.</w:t>
      </w:r>
    </w:p>
    <w:p w:rsidR="000B7175" w:rsidRPr="000B7175" w:rsidRDefault="000B7175" w:rsidP="000B7175">
      <w:r w:rsidRPr="000B7175">
        <w:t>3. Pozyskanie myłkusa i szydlarza jest zawsze uznawane za odstrzał prawidłowy bez względu na przyznaną do odstrzału klasę wieku i nie przyznaje się za nie punktów niebieskich.</w:t>
      </w:r>
    </w:p>
    <w:p w:rsidR="000B7175" w:rsidRPr="000B7175" w:rsidRDefault="000B7175" w:rsidP="000B7175">
      <w:r w:rsidRPr="000B7175">
        <w:t xml:space="preserve">4. Podawana masa poroża jest masą brutto (wieniec z pełną czaszką i bez żuchwy). </w:t>
      </w:r>
    </w:p>
    <w:p w:rsidR="000B7175" w:rsidRPr="000B7175" w:rsidRDefault="000B7175" w:rsidP="000B7175">
      <w:r w:rsidRPr="000B7175">
        <w:t> </w:t>
      </w:r>
    </w:p>
    <w:p w:rsidR="00DD4738" w:rsidRPr="000B7175" w:rsidRDefault="00DD4738" w:rsidP="000B7175"/>
    <w:sectPr w:rsidR="00DD4738" w:rsidRPr="000B7175" w:rsidSect="000B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1FD1"/>
    <w:multiLevelType w:val="multilevel"/>
    <w:tmpl w:val="3A90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6267"/>
    <w:rsid w:val="000A14BB"/>
    <w:rsid w:val="000B7175"/>
    <w:rsid w:val="001B63F8"/>
    <w:rsid w:val="00295E01"/>
    <w:rsid w:val="003B6260"/>
    <w:rsid w:val="00415FE8"/>
    <w:rsid w:val="00444377"/>
    <w:rsid w:val="005B0090"/>
    <w:rsid w:val="00625FD0"/>
    <w:rsid w:val="006D775D"/>
    <w:rsid w:val="00724BC4"/>
    <w:rsid w:val="00833984"/>
    <w:rsid w:val="00A07D64"/>
    <w:rsid w:val="00A14620"/>
    <w:rsid w:val="00B61DCE"/>
    <w:rsid w:val="00B86267"/>
    <w:rsid w:val="00BA0F7D"/>
    <w:rsid w:val="00BF02F6"/>
    <w:rsid w:val="00CC1D3F"/>
    <w:rsid w:val="00DD4738"/>
    <w:rsid w:val="00EA744C"/>
    <w:rsid w:val="00F6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B8626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6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6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62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B862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5FD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5FD0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6D775D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A07D64"/>
    <w:rPr>
      <w:rFonts w:ascii="Courier New" w:eastAsia="Times New Roman" w:hAnsi="Courier New" w:cs="Courier New"/>
      <w:sz w:val="20"/>
      <w:szCs w:val="20"/>
    </w:rPr>
  </w:style>
  <w:style w:type="paragraph" w:customStyle="1" w:styleId="l1">
    <w:name w:val="l1"/>
    <w:basedOn w:val="Normal"/>
    <w:rsid w:val="0029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2">
    <w:name w:val="l2"/>
    <w:basedOn w:val="Normal"/>
    <w:rsid w:val="0029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8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8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4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3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4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8153-3C38-4C90-86D1-40BE3B2B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2012-04-16T22:24:00Z</dcterms:created>
  <dcterms:modified xsi:type="dcterms:W3CDTF">2012-04-16T22:24:00Z</dcterms:modified>
</cp:coreProperties>
</file>